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B1" w:rsidRPr="0099016B" w:rsidRDefault="007D369B" w:rsidP="007D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016B">
        <w:rPr>
          <w:rFonts w:ascii="Times New Roman" w:hAnsi="Times New Roman" w:cs="Times New Roman"/>
          <w:b/>
          <w:sz w:val="24"/>
          <w:szCs w:val="24"/>
          <w:lang w:val="kk-KZ"/>
        </w:rPr>
        <w:t>Міндетті теле-, радиоарна</w:t>
      </w:r>
      <w:bookmarkStart w:id="0" w:name="_GoBack"/>
      <w:bookmarkEnd w:id="0"/>
      <w:r w:rsidRPr="009901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лардың тізбесін қалыптастыру бойынша </w:t>
      </w:r>
    </w:p>
    <w:p w:rsidR="00887AB1" w:rsidRPr="0099016B" w:rsidRDefault="007D369B" w:rsidP="007D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01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 өткізу кезінде өтініш беру жөніндегі </w:t>
      </w:r>
    </w:p>
    <w:p w:rsidR="007D369B" w:rsidRPr="0099016B" w:rsidRDefault="007D369B" w:rsidP="007D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016B">
        <w:rPr>
          <w:rFonts w:ascii="Times New Roman" w:hAnsi="Times New Roman" w:cs="Times New Roman"/>
          <w:b/>
          <w:sz w:val="24"/>
          <w:szCs w:val="24"/>
          <w:lang w:val="kk-KZ"/>
        </w:rPr>
        <w:t>нұсқаулық</w:t>
      </w:r>
    </w:p>
    <w:p w:rsidR="007D369B" w:rsidRPr="0099016B" w:rsidRDefault="007D369B" w:rsidP="007D3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369B" w:rsidRPr="0099016B" w:rsidRDefault="007D369B" w:rsidP="007D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16B">
        <w:rPr>
          <w:rFonts w:ascii="Times New Roman" w:hAnsi="Times New Roman" w:cs="Times New Roman"/>
          <w:sz w:val="24"/>
          <w:szCs w:val="24"/>
          <w:lang w:val="kk-KZ"/>
        </w:rPr>
        <w:t>Міндетті теле-, радиоарналардың тізбесін қалыптастыру жөніндегі конкурстарға қатысу үшін құжаттар топтамасын тапсыру бойынша түсіндірмелер.</w:t>
      </w:r>
    </w:p>
    <w:p w:rsidR="007D369B" w:rsidRPr="0099016B" w:rsidRDefault="007D369B" w:rsidP="007D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369B" w:rsidRPr="0099016B" w:rsidRDefault="007D369B" w:rsidP="007D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16B">
        <w:rPr>
          <w:rFonts w:ascii="Times New Roman" w:hAnsi="Times New Roman" w:cs="Times New Roman"/>
          <w:sz w:val="24"/>
          <w:szCs w:val="24"/>
          <w:lang w:val="kk-KZ"/>
        </w:rPr>
        <w:t xml:space="preserve">Төменде Қазақстан Республикасы Инвестициялар және даму министрінің 2015 жылғы 24 сәуірдегі № 488 бұйрығымен бекітілген Міндетті теле-, радиоарналардың тізбесін қалыптастыру бойынша конкурс өткізу қағидаларына </w:t>
      </w:r>
      <w:r w:rsidR="00B9744E" w:rsidRPr="0099016B">
        <w:rPr>
          <w:rFonts w:ascii="Times New Roman" w:hAnsi="Times New Roman" w:cs="Times New Roman"/>
          <w:sz w:val="24"/>
          <w:szCs w:val="24"/>
          <w:lang w:val="kk-KZ"/>
        </w:rPr>
        <w:t xml:space="preserve">өтінім толтыру кезінде үміткерлерде бірқатар сұрақтар туындайтын позициялар бойынша </w:t>
      </w:r>
      <w:r w:rsidRPr="0099016B">
        <w:rPr>
          <w:rFonts w:ascii="Times New Roman" w:hAnsi="Times New Roman" w:cs="Times New Roman"/>
          <w:sz w:val="24"/>
          <w:szCs w:val="24"/>
          <w:lang w:val="kk-KZ"/>
        </w:rPr>
        <w:t>түсіндірмелер берілді.</w:t>
      </w:r>
    </w:p>
    <w:p w:rsidR="007D369B" w:rsidRPr="0099016B" w:rsidRDefault="007D369B" w:rsidP="007D36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8774"/>
      </w:tblGrid>
      <w:tr w:rsidR="0099016B" w:rsidRPr="0099016B" w:rsidTr="0073069E">
        <w:tc>
          <w:tcPr>
            <w:tcW w:w="690" w:type="dxa"/>
          </w:tcPr>
          <w:p w:rsidR="00F34B80" w:rsidRPr="0099016B" w:rsidRDefault="00F34B80" w:rsidP="007962FD">
            <w:pPr>
              <w:rPr>
                <w:rFonts w:ascii="Times New Roman" w:hAnsi="Times New Roman" w:cs="Times New Roman"/>
                <w:lang w:val="kk-KZ"/>
              </w:rPr>
            </w:pPr>
            <w:r w:rsidRPr="0099016B">
              <w:rPr>
                <w:rFonts w:ascii="Times New Roman" w:hAnsi="Times New Roman" w:cs="Times New Roman"/>
              </w:rPr>
              <w:t>9</w:t>
            </w:r>
            <w:r w:rsidR="007962FD" w:rsidRPr="0099016B">
              <w:rPr>
                <w:rFonts w:ascii="Times New Roman" w:hAnsi="Times New Roman" w:cs="Times New Roman"/>
                <w:lang w:val="kk-KZ"/>
              </w:rPr>
              <w:t xml:space="preserve"> п.</w:t>
            </w:r>
          </w:p>
        </w:tc>
        <w:tc>
          <w:tcPr>
            <w:tcW w:w="8774" w:type="dxa"/>
          </w:tcPr>
          <w:p w:rsidR="001D3383" w:rsidRPr="0099016B" w:rsidRDefault="001D33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қатысуға өтінімді уақытында берген үміткерлер жіберіледі –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құжаттар қабылдаудың аяқталу мерзімі – күні мен уақыты хабарландыруда көрсетіледі</w:t>
            </w:r>
          </w:p>
        </w:tc>
      </w:tr>
      <w:tr w:rsidR="0099016B" w:rsidRPr="0099016B" w:rsidTr="0073069E">
        <w:trPr>
          <w:trHeight w:val="575"/>
        </w:trPr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lang w:val="kk-KZ"/>
              </w:rPr>
            </w:pPr>
            <w:r w:rsidRPr="0099016B">
              <w:rPr>
                <w:rFonts w:ascii="Times New Roman" w:hAnsi="Times New Roman" w:cs="Times New Roman"/>
              </w:rPr>
              <w:t>12</w:t>
            </w:r>
            <w:r w:rsidR="007962FD" w:rsidRPr="0099016B">
              <w:rPr>
                <w:rFonts w:ascii="Times New Roman" w:hAnsi="Times New Roman" w:cs="Times New Roman"/>
                <w:lang w:val="kk-KZ"/>
              </w:rPr>
              <w:t xml:space="preserve"> п.</w:t>
            </w:r>
          </w:p>
        </w:tc>
        <w:tc>
          <w:tcPr>
            <w:tcW w:w="8774" w:type="dxa"/>
          </w:tcPr>
          <w:p w:rsidR="001D3383" w:rsidRPr="0099016B" w:rsidRDefault="001D3383" w:rsidP="001D33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Тіркелген өтінімді қайтарып алатын жағдайда үміткер ұйымдастырушыға жазбаша хабарлама жібереді – </w:t>
            </w:r>
          </w:p>
          <w:p w:rsidR="001D3383" w:rsidRPr="0099016B" w:rsidRDefault="001D3383" w:rsidP="001D338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үміткердің кері қайтарып алу туралы хабарламасы конверттерді ашқан сәтке дейін түсуі тиіс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lang w:val="kk-KZ"/>
              </w:rPr>
            </w:pPr>
            <w:r w:rsidRPr="0099016B">
              <w:rPr>
                <w:rFonts w:ascii="Times New Roman" w:hAnsi="Times New Roman" w:cs="Times New Roman"/>
              </w:rPr>
              <w:t>13</w:t>
            </w:r>
            <w:r w:rsidR="007962FD" w:rsidRPr="0099016B">
              <w:rPr>
                <w:rFonts w:ascii="Times New Roman" w:hAnsi="Times New Roman" w:cs="Times New Roman"/>
                <w:lang w:val="kk-KZ"/>
              </w:rPr>
              <w:t xml:space="preserve"> п.</w:t>
            </w:r>
          </w:p>
        </w:tc>
        <w:tc>
          <w:tcPr>
            <w:tcW w:w="8774" w:type="dxa"/>
          </w:tcPr>
          <w:p w:rsidR="009F08DB" w:rsidRPr="0099016B" w:rsidRDefault="005547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Үміткер өкілінің өтінім беруі Қазақстан Республикасының Азаматтық кодексіне сәйкес ресімделген үміткердің атынан әрекет ету құқығын куәландыратын сенімхатты көрсеткен кезде жүзеге асырылады </w:t>
            </w:r>
            <w:r w:rsidR="00C11E33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</w:p>
          <w:p w:rsidR="00F34B80" w:rsidRPr="0099016B" w:rsidRDefault="005547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құжаттарды бірінші басшы тапсырған жағдайда – сенімхат талап етілмейді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lang w:val="kk-KZ"/>
              </w:rPr>
            </w:pPr>
            <w:r w:rsidRPr="0099016B">
              <w:rPr>
                <w:rFonts w:ascii="Times New Roman" w:hAnsi="Times New Roman" w:cs="Times New Roman"/>
              </w:rPr>
              <w:t>14</w:t>
            </w:r>
            <w:r w:rsidR="007962FD" w:rsidRPr="0099016B">
              <w:rPr>
                <w:rFonts w:ascii="Times New Roman" w:hAnsi="Times New Roman" w:cs="Times New Roman"/>
                <w:lang w:val="kk-KZ"/>
              </w:rPr>
              <w:t xml:space="preserve"> п.</w:t>
            </w:r>
          </w:p>
        </w:tc>
        <w:tc>
          <w:tcPr>
            <w:tcW w:w="8774" w:type="dxa"/>
          </w:tcPr>
          <w:p w:rsidR="009F08DB" w:rsidRPr="0099016B" w:rsidRDefault="005547A8" w:rsidP="00730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өткізу туралы ақпараттық хабарламада көрсетілген өтінімдерді қабылдау мерзімі өткеннен кейін түскен өтінімдер және оларға қоса берілетін құжаттар қабылданбайды </w:t>
            </w:r>
            <w:r w:rsidR="0073069E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</w:p>
          <w:p w:rsidR="00F34B80" w:rsidRPr="0099016B" w:rsidRDefault="005547A8" w:rsidP="00730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құжаттар қабылдаудың аяқталу мерзімі – күні мен уақыты хабарландыруда көрсетіледі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lang w:val="kk-KZ"/>
              </w:rPr>
            </w:pPr>
            <w:r w:rsidRPr="0099016B">
              <w:rPr>
                <w:rFonts w:ascii="Times New Roman" w:hAnsi="Times New Roman" w:cs="Times New Roman"/>
              </w:rPr>
              <w:t>18</w:t>
            </w:r>
            <w:r w:rsidR="007962FD" w:rsidRPr="0099016B">
              <w:rPr>
                <w:rFonts w:ascii="Times New Roman" w:hAnsi="Times New Roman" w:cs="Times New Roman"/>
                <w:lang w:val="kk-KZ"/>
              </w:rPr>
              <w:t xml:space="preserve"> п.</w:t>
            </w:r>
          </w:p>
        </w:tc>
        <w:tc>
          <w:tcPr>
            <w:tcW w:w="8774" w:type="dxa"/>
          </w:tcPr>
          <w:p w:rsidR="00E820B7" w:rsidRPr="0099016B" w:rsidRDefault="00A805EB" w:rsidP="00793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E820B7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Қағидалардың 1 және 2 қосымшаларында көрсетілген құжаттарды </w:t>
            </w: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үміткер аузы жабылған конвертте </w:t>
            </w:r>
            <w:r w:rsidR="00E820B7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ұйымдастырушының мекенжайына </w:t>
            </w:r>
            <w:r w:rsidR="004100E3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байланған</w:t>
            </w:r>
            <w:r w:rsidR="00E820B7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нөмірленген түрде ұсынады және соңғы бетінің сыртын</w:t>
            </w: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820B7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үміткердің уәкілетті адамының қолымен және мөр</w:t>
            </w: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E820B7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(болған жағдайда), мынадай талаптарды сақтай отырып</w:t>
            </w: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E820B7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куәландырылады:</w:t>
            </w:r>
          </w:p>
          <w:p w:rsidR="009F08DB" w:rsidRPr="0099016B" w:rsidRDefault="00A805EB" w:rsidP="009F08DB">
            <w:pPr>
              <w:pStyle w:val="a4"/>
              <w:numPr>
                <w:ilvl w:val="0"/>
                <w:numId w:val="1"/>
              </w:numPr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қатысуға өтінім салынған, аузы жабылған конверттің беткі жағында үміткер ұйымдастырушы мен үміткердің толық атауы мен  пошталық мекенжайын көрсетуі тиіс 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 </w:t>
            </w:r>
          </w:p>
          <w:p w:rsidR="00F34B80" w:rsidRPr="0099016B" w:rsidRDefault="004100E3" w:rsidP="00887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барлық парақтар, оның ішінде шығармашылық, техникалық, заң</w:t>
            </w:r>
            <w:r w:rsidR="00887AB1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дық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және қаржылық ұсыныстармен бірге нөмірленіп, байланады және нөмірлеу дәйектілігі сақталады. Ұсыныстарға, сондай-ақ, өз қалауына қарай қосымша құжаттар тіркеледі.   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lang w:val="kk-KZ"/>
              </w:rPr>
            </w:pPr>
            <w:r w:rsidRPr="0099016B">
              <w:rPr>
                <w:rFonts w:ascii="Times New Roman" w:hAnsi="Times New Roman" w:cs="Times New Roman"/>
              </w:rPr>
              <w:t>19</w:t>
            </w:r>
            <w:r w:rsidR="007962FD" w:rsidRPr="0099016B">
              <w:rPr>
                <w:rFonts w:ascii="Times New Roman" w:hAnsi="Times New Roman" w:cs="Times New Roman"/>
                <w:lang w:val="kk-KZ"/>
              </w:rPr>
              <w:t xml:space="preserve"> п.</w:t>
            </w:r>
          </w:p>
        </w:tc>
        <w:tc>
          <w:tcPr>
            <w:tcW w:w="8774" w:type="dxa"/>
          </w:tcPr>
          <w:p w:rsidR="004100E3" w:rsidRPr="0099016B" w:rsidRDefault="004100E3" w:rsidP="004100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Комиссия өтінімдер және басқа да құжаттар салынған конверттерді үміткерлердің немесе олардың өкілдерінің қатысуымен конкурс өткізу туралы ақпараттық хабарламада көрсетілген мерзімде және орында ашады – </w:t>
            </w:r>
          </w:p>
          <w:p w:rsidR="004100E3" w:rsidRPr="0099016B" w:rsidRDefault="004100E3" w:rsidP="004100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үміткерлер өкілдерінің қатысуы міндетті емес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74" w:type="dxa"/>
          </w:tcPr>
          <w:p w:rsidR="00F34B80" w:rsidRPr="0099016B" w:rsidRDefault="004100E3" w:rsidP="004100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қосымша. Міндетті теле-, радиоарналардың тізбесін қалыптастыру бойынша конкурсқа қатысуға өтінім 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lang w:val="kk-KZ"/>
              </w:rPr>
            </w:pPr>
            <w:r w:rsidRPr="0099016B">
              <w:rPr>
                <w:rFonts w:ascii="Times New Roman" w:hAnsi="Times New Roman" w:cs="Times New Roman"/>
              </w:rPr>
              <w:t>2</w:t>
            </w:r>
            <w:r w:rsidR="007962FD" w:rsidRPr="0099016B">
              <w:rPr>
                <w:rFonts w:ascii="Times New Roman" w:hAnsi="Times New Roman" w:cs="Times New Roman"/>
                <w:lang w:val="kk-KZ"/>
              </w:rPr>
              <w:t xml:space="preserve"> п.</w:t>
            </w:r>
          </w:p>
        </w:tc>
        <w:tc>
          <w:tcPr>
            <w:tcW w:w="8774" w:type="dxa"/>
          </w:tcPr>
          <w:p w:rsidR="004100E3" w:rsidRPr="0099016B" w:rsidRDefault="004100E3" w:rsidP="004100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мекенжай: </w:t>
            </w:r>
          </w:p>
          <w:p w:rsidR="00F34B80" w:rsidRPr="0099016B" w:rsidRDefault="004100E3" w:rsidP="004100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құжаттарға сай ұйымның заңды мекенжайын, сондай-ақ, жұмыс істеп тұрған офисінің нақты мекенжайын көрсету қажет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lang w:val="kk-KZ"/>
              </w:rPr>
            </w:pPr>
            <w:r w:rsidRPr="0099016B">
              <w:rPr>
                <w:rFonts w:ascii="Times New Roman" w:hAnsi="Times New Roman" w:cs="Times New Roman"/>
              </w:rPr>
              <w:t>3</w:t>
            </w:r>
            <w:r w:rsidR="007962FD" w:rsidRPr="0099016B">
              <w:rPr>
                <w:rFonts w:ascii="Times New Roman" w:hAnsi="Times New Roman" w:cs="Times New Roman"/>
                <w:lang w:val="kk-KZ"/>
              </w:rPr>
              <w:t xml:space="preserve"> п.</w:t>
            </w:r>
          </w:p>
        </w:tc>
        <w:tc>
          <w:tcPr>
            <w:tcW w:w="8774" w:type="dxa"/>
          </w:tcPr>
          <w:p w:rsidR="004100E3" w:rsidRPr="0099016B" w:rsidRDefault="004100E3" w:rsidP="0041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16B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99016B">
              <w:rPr>
                <w:rFonts w:ascii="Times New Roman" w:hAnsi="Times New Roman" w:cs="Times New Roman"/>
                <w:sz w:val="24"/>
                <w:szCs w:val="24"/>
              </w:rPr>
              <w:t xml:space="preserve"> телефон </w:t>
            </w:r>
            <w:proofErr w:type="spellStart"/>
            <w:r w:rsidRPr="0099016B">
              <w:rPr>
                <w:rFonts w:ascii="Times New Roman" w:hAnsi="Times New Roman" w:cs="Times New Roman"/>
                <w:sz w:val="24"/>
                <w:szCs w:val="24"/>
              </w:rPr>
              <w:t>нө</w:t>
            </w:r>
            <w:proofErr w:type="gramStart"/>
            <w:r w:rsidRPr="00990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9016B">
              <w:rPr>
                <w:rFonts w:ascii="Times New Roman" w:hAnsi="Times New Roman" w:cs="Times New Roman"/>
                <w:sz w:val="24"/>
                <w:szCs w:val="24"/>
              </w:rPr>
              <w:t>ірлері</w:t>
            </w:r>
            <w:proofErr w:type="spellEnd"/>
            <w:r w:rsidRPr="00990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016B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99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16B"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99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16B">
              <w:rPr>
                <w:rFonts w:ascii="Times New Roman" w:hAnsi="Times New Roman" w:cs="Times New Roman"/>
                <w:sz w:val="24"/>
                <w:szCs w:val="24"/>
              </w:rPr>
              <w:t>мекенжайлары</w:t>
            </w:r>
            <w:proofErr w:type="spellEnd"/>
            <w:r w:rsidRPr="009901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34B80" w:rsidRPr="0099016B" w:rsidRDefault="004100E3" w:rsidP="0041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ұйымның қолданыстағы жұмыс телефондарын, басшылар мен негізгі жұмыскерлердің мобилді телефон нөмірлерін, электрондық пошталарының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мекенжайын көрсету қажет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4" w:type="dxa"/>
          </w:tcPr>
          <w:p w:rsidR="005B71A1" w:rsidRPr="0099016B" w:rsidRDefault="005B71A1" w:rsidP="005B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Есепке қою туралы куәлікке сәйкес теле-, радиоарнаның атауы – </w:t>
            </w:r>
          </w:p>
          <w:p w:rsidR="00F34B80" w:rsidRPr="0099016B" w:rsidRDefault="005B71A1" w:rsidP="00793EA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уәкілетті органда ес</w:t>
            </w:r>
            <w:r w:rsidR="00133924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еп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ке қою кезінде берілген куәліктегі атауға сай 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lang w:val="kk-KZ"/>
              </w:rPr>
            </w:pPr>
            <w:r w:rsidRPr="0099016B">
              <w:rPr>
                <w:rFonts w:ascii="Times New Roman" w:hAnsi="Times New Roman" w:cs="Times New Roman"/>
              </w:rPr>
              <w:t>5</w:t>
            </w:r>
            <w:r w:rsidR="007962FD" w:rsidRPr="0099016B">
              <w:rPr>
                <w:rFonts w:ascii="Times New Roman" w:hAnsi="Times New Roman" w:cs="Times New Roman"/>
                <w:lang w:val="kk-KZ"/>
              </w:rPr>
              <w:t xml:space="preserve"> п.</w:t>
            </w:r>
          </w:p>
        </w:tc>
        <w:tc>
          <w:tcPr>
            <w:tcW w:w="8774" w:type="dxa"/>
          </w:tcPr>
          <w:p w:rsidR="00F34B80" w:rsidRPr="0099016B" w:rsidRDefault="005B71A1" w:rsidP="005B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бағыты</w:t>
            </w:r>
            <w:r w:rsidR="00F34B80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-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хабар таратудың басым бағытын көрсету қажет 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мысалы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: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жаңалықтық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музыка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лық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ойын-сауықтық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оқыту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танымдық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және басқ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.)</w:t>
            </w:r>
            <w:r w:rsidR="0073069E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lang w:val="kk-KZ"/>
              </w:rPr>
            </w:pPr>
            <w:r w:rsidRPr="0099016B">
              <w:rPr>
                <w:rFonts w:ascii="Times New Roman" w:hAnsi="Times New Roman" w:cs="Times New Roman"/>
              </w:rPr>
              <w:t>6</w:t>
            </w:r>
            <w:r w:rsidR="007962FD" w:rsidRPr="0099016B">
              <w:rPr>
                <w:rFonts w:ascii="Times New Roman" w:hAnsi="Times New Roman" w:cs="Times New Roman"/>
                <w:lang w:val="kk-KZ"/>
              </w:rPr>
              <w:t xml:space="preserve"> п.</w:t>
            </w:r>
          </w:p>
        </w:tc>
        <w:tc>
          <w:tcPr>
            <w:tcW w:w="8774" w:type="dxa"/>
          </w:tcPr>
          <w:p w:rsidR="003B6405" w:rsidRPr="0099016B" w:rsidRDefault="005B71A1" w:rsidP="00793E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Тарату аумағы</w:t>
            </w:r>
            <w:r w:rsidR="0073069E" w:rsidRPr="0099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F34B80" w:rsidRPr="0099016B" w:rsidRDefault="005B71A1" w:rsidP="005B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Қазақстан Республикасы деп көрсету қажет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F34B80" w:rsidRPr="0099016B" w:rsidRDefault="005B71A1" w:rsidP="0079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Тіркелетін құжаттар</w:t>
            </w:r>
            <w:r w:rsidR="00F34B80" w:rsidRPr="009901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F34B80" w:rsidRPr="0099016B" w:rsidRDefault="00F34B80" w:rsidP="001339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r w:rsidR="005B71A1" w:rsidRPr="00990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қосымша. Үмі</w:t>
            </w:r>
            <w:r w:rsidR="00133924" w:rsidRPr="00990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5B71A1" w:rsidRPr="00990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керлердің конкурстық ұсыныстары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F34B80" w:rsidRPr="0099016B" w:rsidRDefault="005B71A1" w:rsidP="00793E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ұсыныстар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3B6405" w:rsidRPr="0099016B" w:rsidRDefault="00F34B80" w:rsidP="004C0513">
            <w:pPr>
              <w:pStyle w:val="a4"/>
              <w:numPr>
                <w:ilvl w:val="0"/>
                <w:numId w:val="2"/>
              </w:numPr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99016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9016B">
              <w:rPr>
                <w:rFonts w:ascii="Times New Roman" w:hAnsi="Times New Roman" w:cs="Times New Roman"/>
                <w:sz w:val="24"/>
                <w:szCs w:val="24"/>
              </w:rPr>
              <w:t>, рад</w:t>
            </w:r>
            <w:r w:rsidR="0073069E" w:rsidRPr="0099016B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="0026778B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арнаның хабар тарату торына</w:t>
            </w:r>
            <w:r w:rsidR="0073069E" w:rsidRPr="009901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778B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келесі айға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6778B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  <w:p w:rsidR="00F34B80" w:rsidRPr="0099016B" w:rsidRDefault="0026778B" w:rsidP="0013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хабар таратудың </w:t>
            </w:r>
            <w:r w:rsidR="00133924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көзделген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типтік торы көрсетіледі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күнделікті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апта сайын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ай сайын</w:t>
            </w:r>
            <w:r w:rsidR="0073069E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F34B80" w:rsidRPr="0099016B" w:rsidRDefault="00F34B80" w:rsidP="0079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="0026778B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</w:t>
            </w:r>
            <w:proofErr w:type="gramEnd"/>
            <w:r w:rsidR="0026778B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ақпараттан тұратын мәліметтер</w:t>
            </w:r>
            <w:r w:rsidRPr="009901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4B80" w:rsidRPr="0099016B" w:rsidRDefault="0026778B" w:rsidP="0079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 таратудың тілдік арақатынасы</w:t>
            </w:r>
            <w:r w:rsidR="00F34B80" w:rsidRPr="00990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тілдегі теле-, радиобағдарламалардың уақыты</w:t>
            </w:r>
            <w:r w:rsidR="00F34B80" w:rsidRPr="009901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B80" w:rsidRPr="0099016B" w:rsidRDefault="003B6405" w:rsidP="0079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78B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теле-, радиобағдарламалардың, сатып алынатын теле-, радиобағдарламалардың және ретрансляциялар</w:t>
            </w:r>
            <w:r w:rsidR="00310372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26778B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ың арақатынасы </w:t>
            </w:r>
            <w:r w:rsidR="00C11E33" w:rsidRPr="00990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1E33" w:rsidRPr="0099016B" w:rsidRDefault="00C11E33" w:rsidP="0026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6778B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«Телерадио хабарларын тарату туралы» заңның 10 және 28 баптарын сақтауды есепке ала отырып, хабар таратудың орта тәуліктік </w:t>
            </w:r>
            <w:proofErr w:type="gramStart"/>
            <w:r w:rsidR="0026778B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proofErr w:type="gramEnd"/>
            <w:r w:rsidR="0026778B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өлеміне отандық бағдарламалардың және орта тәуліктік көлемге мемлекеттік тілдегі бағдарламалардың пайыздық арақатынасын көрсету қажет 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3B6405" w:rsidRPr="0099016B" w:rsidRDefault="0026778B" w:rsidP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және техникалық жұмыскерлердің сандық мәндегі кадрлық әлеуеті </w:t>
            </w:r>
            <w:r w:rsidR="00F34B80" w:rsidRPr="0099016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F34B80" w:rsidRPr="0099016B" w:rsidRDefault="0026778B" w:rsidP="0026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Мамандықтарын көрсете және диплом көшірмелерін тіркей отырып, бағдарламалар жасау мен техникалық құралдарды пайдалануға тартылған қызметкерлер тізбесін келтіру қажет 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F34B80" w:rsidRPr="0099016B" w:rsidRDefault="00F34B80" w:rsidP="002677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99016B">
              <w:rPr>
                <w:rFonts w:ascii="Times New Roman" w:hAnsi="Times New Roman" w:cs="Times New Roman"/>
                <w:b/>
                <w:sz w:val="24"/>
                <w:szCs w:val="24"/>
              </w:rPr>
              <w:t>Техни</w:t>
            </w:r>
            <w:proofErr w:type="spellEnd"/>
            <w:r w:rsidR="0026778B" w:rsidRPr="00990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калық ұсыныстар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3B6405" w:rsidRPr="0099016B" w:rsidRDefault="00B42BDA" w:rsidP="003B6405">
            <w:pPr>
              <w:pStyle w:val="a4"/>
              <w:numPr>
                <w:ilvl w:val="0"/>
                <w:numId w:val="3"/>
              </w:numPr>
              <w:tabs>
                <w:tab w:val="left" w:pos="444"/>
              </w:tabs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теле-, радиобағдарламаларды жасайтын стационарлық студиялық жабдықтың бар-жоқтығы, жай-күйі мен типі туралы ақпарат </w:t>
            </w:r>
            <w:r w:rsidR="003B6405" w:rsidRPr="00990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4B80" w:rsidRPr="0099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B80" w:rsidRPr="0099016B" w:rsidRDefault="00F34B80" w:rsidP="003B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пайдаланылатын</w:t>
            </w:r>
            <w:proofErr w:type="spellEnd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студиялық</w:t>
            </w:r>
            <w:proofErr w:type="spellEnd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жабдықтың</w:t>
            </w:r>
            <w:proofErr w:type="spellEnd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модельдері мен типтерін</w:t>
            </w:r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көрсету</w:t>
            </w:r>
            <w:proofErr w:type="spellEnd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жаңалық</w:t>
            </w:r>
            <w:proofErr w:type="spellEnd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және</w:t>
            </w:r>
            <w:proofErr w:type="spellEnd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немесе</w:t>
            </w:r>
            <w:proofErr w:type="spellEnd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басқа</w:t>
            </w:r>
            <w:proofErr w:type="spellEnd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да </w:t>
            </w:r>
            <w:proofErr w:type="spellStart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түсі</w:t>
            </w:r>
            <w:proofErr w:type="gramStart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ілім</w:t>
            </w:r>
            <w:proofErr w:type="spellEnd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студияларының</w:t>
            </w:r>
            <w:proofErr w:type="spellEnd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эфирлік</w:t>
            </w:r>
            <w:proofErr w:type="spellEnd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аппараттардың</w:t>
            </w:r>
            <w:proofErr w:type="spellEnd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бар-жоқтығын</w:t>
            </w:r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көрсету</w:t>
            </w:r>
            <w:proofErr w:type="spellEnd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42BDA"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қажет</w:t>
            </w:r>
            <w:proofErr w:type="spellEnd"/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B42BDA" w:rsidRPr="0099016B" w:rsidRDefault="00B42BDA" w:rsidP="00B42BDA">
            <w:pPr>
              <w:pStyle w:val="a4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proofErr w:type="gramStart"/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қ-</w:t>
            </w:r>
            <w:proofErr w:type="gramEnd"/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студиялық кешеннің техникалық сипаттамасы</w:t>
            </w:r>
            <w:r w:rsidRPr="0099016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F34B80" w:rsidRPr="0099016B" w:rsidRDefault="00B42BDA" w:rsidP="00B4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теле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визиялық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сигналдар</w:t>
            </w:r>
            <w:proofErr w:type="spellEnd"/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</w:t>
            </w:r>
            <w:proofErr w:type="spellStart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ың</w:t>
            </w:r>
            <w:proofErr w:type="spellEnd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техникалық</w:t>
            </w:r>
            <w:proofErr w:type="spellEnd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сипаттамаларын</w:t>
            </w:r>
            <w:proofErr w:type="spellEnd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(SD, HD , </w:t>
            </w:r>
            <w:proofErr w:type="spellStart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кодтау</w:t>
            </w:r>
            <w:proofErr w:type="spellEnd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сығымдау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стандарттары</w:t>
            </w:r>
            <w:proofErr w:type="spellEnd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және</w:t>
            </w:r>
            <w:proofErr w:type="spellEnd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т.б</w:t>
            </w:r>
            <w:proofErr w:type="spellEnd"/>
            <w:proofErr w:type="gramEnd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 </w:t>
            </w:r>
            <w:proofErr w:type="spellStart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келтіру</w:t>
            </w:r>
            <w:proofErr w:type="spellEnd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қажет</w:t>
            </w:r>
            <w:proofErr w:type="spellEnd"/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B42BDA" w:rsidRPr="0099016B" w:rsidRDefault="00B42BDA" w:rsidP="00B42BDA">
            <w:pPr>
              <w:pStyle w:val="a4"/>
              <w:numPr>
                <w:ilvl w:val="0"/>
                <w:numId w:val="3"/>
              </w:numPr>
              <w:tabs>
                <w:tab w:val="left" w:pos="303"/>
              </w:tabs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тиісті стандарттарды көрсете отырып, жоғары сапалы дыбыс пен кескінді теле-, радиобағдарламаларды эфирге беру жөніндегі міндеттемелер – </w:t>
            </w:r>
          </w:p>
          <w:p w:rsidR="00B42BDA" w:rsidRPr="0099016B" w:rsidRDefault="00B42BDA" w:rsidP="00B42BD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негіз болатын ұлттық және халықаралық МЕМСТ-тарды көрсету, мысалы:</w:t>
            </w:r>
          </w:p>
          <w:p w:rsidR="00F34B80" w:rsidRPr="0099016B" w:rsidRDefault="00B42BDA" w:rsidP="00B42BD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  ҚР СТ 302 755-2011 «Цифрлық хабар тарататын телевизия/ Екінші буын  DVB-T2  жерүсті цифрлық ТВ хабар тарату жүйесі. Кадрлар құрылымы, арналық кодтау және модуляциялау әдістері»;</w:t>
            </w:r>
          </w:p>
          <w:p w:rsidR="00B42BDA" w:rsidRPr="0099016B" w:rsidRDefault="00B42BDA" w:rsidP="00B42BD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   ҚР СТ 2174-2011</w:t>
            </w:r>
            <w:r w:rsidRPr="0099016B">
              <w:rPr>
                <w:lang w:val="kk-KZ"/>
              </w:rPr>
              <w:t xml:space="preserve">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«ҚР цифрлық хабар тарату телевизиясы. Кодтау, мультиплекстеу және қабылдау жабдығы. Телевизиялық цифрлық радиотаратқыштар. Негізгі параметрлер, техникалық талаптар және өлшеу әдістері»; </w:t>
            </w:r>
          </w:p>
          <w:p w:rsidR="00B42BDA" w:rsidRPr="0099016B" w:rsidRDefault="00B42BDA" w:rsidP="00B42BDA"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  ҚР СТ 2175-2011</w:t>
            </w:r>
            <w:r w:rsidRPr="0099016B">
              <w:rPr>
                <w:lang w:val="kk-KZ"/>
              </w:rPr>
              <w:t xml:space="preserve">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«ҚР цифрлық хабар тарату телевизиясы. Ц</w:t>
            </w:r>
            <w:proofErr w:type="spellStart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ифр</w:t>
            </w:r>
            <w:proofErr w:type="spellEnd"/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лық </w:t>
            </w:r>
            <w:proofErr w:type="spellStart"/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телевизи</w:t>
            </w:r>
            <w:proofErr w:type="spellEnd"/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ялық хабар тарату жүйесі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Телевизиялық цифрлық радиотаратқыштар. Негізгі параметрлер, техникалық талаптар және өлшеу әдістері»;</w:t>
            </w:r>
          </w:p>
          <w:p w:rsidR="00F34B80" w:rsidRPr="0099016B" w:rsidRDefault="00B42BDA" w:rsidP="00B4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6B">
              <w:t xml:space="preserve">-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</w:t>
            </w:r>
            <w:proofErr w:type="gramStart"/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</w:t>
            </w:r>
            <w:proofErr w:type="gramEnd"/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СТ 1946-2010 «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ҚР цифрлық хабар тарату телевизиясы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. Термин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дер мен анықтамалар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және басқ.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B42BDA" w:rsidRPr="0099016B" w:rsidRDefault="00B42BDA" w:rsidP="00B42BDA">
            <w:pPr>
              <w:pStyle w:val="a4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Студиялық кешеннің орналасқан жері туралы, ұлттық оператор желісіне дейін </w:t>
            </w: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теле-, радиоарнаны жеткізіп беудің тәсілі туралы ақпарат – </w:t>
            </w:r>
          </w:p>
          <w:p w:rsidR="00F34B80" w:rsidRPr="0099016B" w:rsidRDefault="00B42BDA" w:rsidP="00B42B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АСК орналасқан жерінің заңды мекенжайын, меншік  немесе жалға алынған үй-жайларды, ұлттық оператордың қосылу нүктесіне (ТОБЖ, РРЖ) дейін берудің жоспарланған тәсілін көрсету, беру схемасын қоса тіркеу ұсынылады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74" w:type="dxa"/>
          </w:tcPr>
          <w:p w:rsidR="003B6405" w:rsidRPr="0099016B" w:rsidRDefault="00B42BDA" w:rsidP="00887AB1">
            <w:pPr>
              <w:pStyle w:val="a4"/>
              <w:numPr>
                <w:ilvl w:val="0"/>
                <w:numId w:val="3"/>
              </w:numPr>
              <w:tabs>
                <w:tab w:val="left" w:pos="161"/>
                <w:tab w:val="left" w:pos="303"/>
              </w:tabs>
              <w:ind w:left="0" w:firstLine="1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теле-, радиоарнаны міндетті теле-, радиоарналар тізбесіне қосқан жағдайда </w:t>
            </w:r>
            <w:r w:rsidR="00887AB1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тізбе бекітілген күннен бастап </w:t>
            </w: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алты ай ішінде </w:t>
            </w:r>
            <w:r w:rsidR="00887AB1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телерадио хабарларын тарату операторының желісіне </w:t>
            </w: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сигналды (теле-, радиоарнаны) дейін жеткізуді </w:t>
            </w:r>
            <w:r w:rsidR="00887AB1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үміткердің техникалық құралдарын қосуды </w:t>
            </w: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қамтамасыз ету жөніндегі міндеттемелер – </w:t>
            </w:r>
            <w:r w:rsidR="00F34B80"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34B80" w:rsidRPr="0099016B" w:rsidRDefault="00B42BDA" w:rsidP="003B6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ұйымның мөрімен расталған, бірінші басшының қолы қойылған еркін нысанда жазбаша түрде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74" w:type="dxa"/>
          </w:tcPr>
          <w:p w:rsidR="00F34B80" w:rsidRPr="0099016B" w:rsidRDefault="00F34B80" w:rsidP="008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887AB1" w:rsidRPr="00990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Заңдық және қаржылық ұсыныстар</w:t>
            </w:r>
          </w:p>
        </w:tc>
      </w:tr>
      <w:tr w:rsidR="0099016B" w:rsidRPr="0099016B" w:rsidTr="0073069E">
        <w:tc>
          <w:tcPr>
            <w:tcW w:w="690" w:type="dxa"/>
          </w:tcPr>
          <w:p w:rsidR="00F34B80" w:rsidRPr="0099016B" w:rsidRDefault="00F3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F34B80" w:rsidRPr="0099016B" w:rsidRDefault="00887AB1" w:rsidP="00887AB1">
            <w:pPr>
              <w:pStyle w:val="a4"/>
              <w:numPr>
                <w:ilvl w:val="0"/>
                <w:numId w:val="4"/>
              </w:numPr>
              <w:tabs>
                <w:tab w:val="left" w:pos="161"/>
              </w:tabs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Телерадио хабарларын таратудың ұлттық операторына цифрлық эфирлік және жерсеріктік телерадио хабарларын тарату желісі бойынша теле-, радиоарнаны таратқаны үшін, телерадио хабарларын таратудың ұлттық операторы анықтама берген күнге дейін бір айдан астам мерзімі өткен берешегінің жоқ екендігі туралы анықтама – </w:t>
            </w:r>
            <w:r w:rsidRPr="009901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берешектің жоқ немесе бар екендігі туралы ұлттық оператордың жазбаша растауын қоса беру талап етіледі</w:t>
            </w:r>
          </w:p>
        </w:tc>
      </w:tr>
    </w:tbl>
    <w:p w:rsidR="00DF4C82" w:rsidRPr="0099016B" w:rsidRDefault="00DF4C8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69B" w:rsidRPr="0099016B" w:rsidRDefault="007D36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69B" w:rsidRPr="0099016B" w:rsidRDefault="007D36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69B" w:rsidRPr="0099016B" w:rsidRDefault="007D36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69B" w:rsidRPr="0099016B" w:rsidRDefault="007D36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69B" w:rsidRPr="0099016B" w:rsidRDefault="007D36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69B" w:rsidRPr="0099016B" w:rsidRDefault="007D36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69B" w:rsidRPr="0099016B" w:rsidRDefault="007D36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69B" w:rsidRPr="0099016B" w:rsidRDefault="007D36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69B" w:rsidRPr="0099016B" w:rsidRDefault="007D36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69B" w:rsidRPr="0099016B" w:rsidRDefault="007D36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69B" w:rsidRPr="0099016B" w:rsidRDefault="007D36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69B" w:rsidRPr="0099016B" w:rsidRDefault="007D36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69B" w:rsidRPr="0099016B" w:rsidRDefault="007D36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69B" w:rsidRPr="0099016B" w:rsidRDefault="007D36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69B" w:rsidRPr="0099016B" w:rsidRDefault="007D36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7AB1" w:rsidRPr="0099016B" w:rsidRDefault="00887AB1" w:rsidP="007D369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7AB1" w:rsidRPr="0099016B" w:rsidRDefault="00887AB1" w:rsidP="007D369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87AB1" w:rsidRPr="0099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77B"/>
    <w:multiLevelType w:val="hybridMultilevel"/>
    <w:tmpl w:val="3E965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D01ED"/>
    <w:multiLevelType w:val="hybridMultilevel"/>
    <w:tmpl w:val="FACAD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42E22"/>
    <w:multiLevelType w:val="hybridMultilevel"/>
    <w:tmpl w:val="8264B7EC"/>
    <w:lvl w:ilvl="0" w:tplc="01B01E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216C8"/>
    <w:multiLevelType w:val="hybridMultilevel"/>
    <w:tmpl w:val="16424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1E"/>
    <w:rsid w:val="00031D22"/>
    <w:rsid w:val="00080A1E"/>
    <w:rsid w:val="00133924"/>
    <w:rsid w:val="001D3383"/>
    <w:rsid w:val="0026778B"/>
    <w:rsid w:val="00310372"/>
    <w:rsid w:val="003B3510"/>
    <w:rsid w:val="003B6405"/>
    <w:rsid w:val="004100E3"/>
    <w:rsid w:val="004A5EA9"/>
    <w:rsid w:val="004C0513"/>
    <w:rsid w:val="005547A8"/>
    <w:rsid w:val="005B71A1"/>
    <w:rsid w:val="0073069E"/>
    <w:rsid w:val="00793EA7"/>
    <w:rsid w:val="007962FD"/>
    <w:rsid w:val="007D369B"/>
    <w:rsid w:val="00887AB1"/>
    <w:rsid w:val="0099016B"/>
    <w:rsid w:val="009F08DB"/>
    <w:rsid w:val="00A805EB"/>
    <w:rsid w:val="00B34974"/>
    <w:rsid w:val="00B42BDA"/>
    <w:rsid w:val="00B9744E"/>
    <w:rsid w:val="00BC790F"/>
    <w:rsid w:val="00C11E33"/>
    <w:rsid w:val="00C665CC"/>
    <w:rsid w:val="00DF4C82"/>
    <w:rsid w:val="00E820B7"/>
    <w:rsid w:val="00F13E8D"/>
    <w:rsid w:val="00F3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Raushan Akpenova</dc:creator>
  <cp:lastModifiedBy>Talgat Amangeldin</cp:lastModifiedBy>
  <cp:revision>9</cp:revision>
  <dcterms:created xsi:type="dcterms:W3CDTF">2020-07-24T10:58:00Z</dcterms:created>
  <dcterms:modified xsi:type="dcterms:W3CDTF">2020-07-27T07:02:00Z</dcterms:modified>
</cp:coreProperties>
</file>