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4F758FF" w14:textId="671C7AE2" w:rsidR="00FB10B0" w:rsidRPr="00F063D3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авлодар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к. </w:t>
            </w: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ул.Павлова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26/5 – 1 шт.;</w:t>
            </w: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ИБП должен соответствовать ТР ЕАЭС 037/2016 «Об ограничении применения 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на передней (фронтальной) панели физических кнопок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Входной коэффициент нелинейных искажений по току при полной линейной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Кабель / провод, используемый для подключения аккумуляторных батарей к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 xml:space="preserve">Сопутствующие услуги (указываются при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Поставщик обязан произвести монтаж, пуско-наладку поставляемого ИБП,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>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A680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3AE1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5DBA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17C96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16F13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063D3"/>
    <w:rsid w:val="00F13FB5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3197</Words>
  <Characters>18225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2025-03-28T06:34:00Z</dcterms:created>
  <dcterms:modified xsi:type="dcterms:W3CDTF">2025-03-28T06:34:00Z</dcterms:modified>
</cp:coreProperties>
</file>